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F4C94">
        <w:trPr>
          <w:trHeight w:hRule="exact" w:val="1528"/>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5543" w:type="dxa"/>
            <w:gridSpan w:val="4"/>
            <w:shd w:val="clear" w:color="000000" w:fill="FFFFFF"/>
            <w:tcMar>
              <w:left w:w="34" w:type="dxa"/>
              <w:right w:w="34" w:type="dxa"/>
            </w:tcMar>
          </w:tcPr>
          <w:p w:rsidR="00DF4C94" w:rsidRDefault="00387D7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rsidR="00DF4C94">
        <w:trPr>
          <w:trHeight w:hRule="exact" w:val="138"/>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585"/>
        </w:trPr>
        <w:tc>
          <w:tcPr>
            <w:tcW w:w="10221" w:type="dxa"/>
            <w:gridSpan w:val="10"/>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F4C94" w:rsidRDefault="00387D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F4C94">
        <w:trPr>
          <w:trHeight w:hRule="exact" w:val="314"/>
        </w:trPr>
        <w:tc>
          <w:tcPr>
            <w:tcW w:w="10221" w:type="dxa"/>
            <w:gridSpan w:val="10"/>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F4C94">
        <w:trPr>
          <w:trHeight w:hRule="exact" w:val="211"/>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277"/>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3842" w:type="dxa"/>
            <w:gridSpan w:val="2"/>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УТВЕРЖДАЮ</w:t>
            </w:r>
          </w:p>
        </w:tc>
      </w:tr>
      <w:tr w:rsidR="00DF4C94">
        <w:trPr>
          <w:trHeight w:hRule="exact" w:val="972"/>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3842" w:type="dxa"/>
            <w:gridSpan w:val="2"/>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F4C94" w:rsidRDefault="00DF4C94">
            <w:pPr>
              <w:spacing w:after="0" w:line="240" w:lineRule="auto"/>
              <w:jc w:val="center"/>
              <w:rPr>
                <w:sz w:val="24"/>
                <w:szCs w:val="24"/>
              </w:rPr>
            </w:pPr>
          </w:p>
          <w:p w:rsidR="00DF4C94" w:rsidRDefault="00387D7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F4C94">
        <w:trPr>
          <w:trHeight w:hRule="exact" w:val="277"/>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3842" w:type="dxa"/>
            <w:gridSpan w:val="2"/>
            <w:shd w:val="clear" w:color="000000" w:fill="FFFFFF"/>
            <w:tcMar>
              <w:left w:w="34" w:type="dxa"/>
              <w:right w:w="34" w:type="dxa"/>
            </w:tcMar>
          </w:tcPr>
          <w:p w:rsidR="00DF4C94" w:rsidRDefault="00387D77">
            <w:pPr>
              <w:spacing w:after="0" w:line="240" w:lineRule="auto"/>
              <w:jc w:val="right"/>
              <w:rPr>
                <w:sz w:val="24"/>
                <w:szCs w:val="24"/>
              </w:rPr>
            </w:pPr>
            <w:r>
              <w:rPr>
                <w:rFonts w:ascii="Times New Roman" w:hAnsi="Times New Roman" w:cs="Times New Roman"/>
                <w:color w:val="000000"/>
                <w:sz w:val="24"/>
                <w:szCs w:val="24"/>
              </w:rPr>
              <w:t>28.03.2022</w:t>
            </w:r>
          </w:p>
        </w:tc>
      </w:tr>
      <w:tr w:rsidR="00DF4C94">
        <w:trPr>
          <w:trHeight w:hRule="exact" w:val="277"/>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416"/>
        </w:trPr>
        <w:tc>
          <w:tcPr>
            <w:tcW w:w="10221" w:type="dxa"/>
            <w:gridSpan w:val="10"/>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F4C94">
        <w:trPr>
          <w:trHeight w:hRule="exact" w:val="1135"/>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4834" w:type="dxa"/>
            <w:gridSpan w:val="5"/>
            <w:shd w:val="clear" w:color="000000" w:fill="FFFFFF"/>
            <w:tcMar>
              <w:left w:w="34" w:type="dxa"/>
              <w:right w:w="34" w:type="dxa"/>
            </w:tcMar>
          </w:tcPr>
          <w:p w:rsidR="00DF4C94" w:rsidRDefault="00387D77">
            <w:pPr>
              <w:spacing w:after="0" w:line="240" w:lineRule="auto"/>
              <w:jc w:val="center"/>
              <w:rPr>
                <w:sz w:val="32"/>
                <w:szCs w:val="32"/>
              </w:rPr>
            </w:pPr>
            <w:r>
              <w:rPr>
                <w:rFonts w:ascii="Times New Roman" w:hAnsi="Times New Roman" w:cs="Times New Roman"/>
                <w:color w:val="000000"/>
                <w:sz w:val="32"/>
                <w:szCs w:val="32"/>
              </w:rPr>
              <w:t>Инвестиционная банковская деятельность</w:t>
            </w:r>
          </w:p>
          <w:p w:rsidR="00DF4C94" w:rsidRDefault="00387D77">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DF4C94" w:rsidRDefault="00DF4C94"/>
        </w:tc>
      </w:tr>
      <w:tr w:rsidR="00DF4C94">
        <w:trPr>
          <w:trHeight w:hRule="exact" w:val="277"/>
        </w:trPr>
        <w:tc>
          <w:tcPr>
            <w:tcW w:w="10221" w:type="dxa"/>
            <w:gridSpan w:val="10"/>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F4C94">
        <w:trPr>
          <w:trHeight w:hRule="exact" w:val="1111"/>
        </w:trPr>
        <w:tc>
          <w:tcPr>
            <w:tcW w:w="143" w:type="dxa"/>
          </w:tcPr>
          <w:p w:rsidR="00DF4C94" w:rsidRDefault="00DF4C94"/>
        </w:tc>
        <w:tc>
          <w:tcPr>
            <w:tcW w:w="285" w:type="dxa"/>
          </w:tcPr>
          <w:p w:rsidR="00DF4C94" w:rsidRDefault="00DF4C94"/>
        </w:tc>
        <w:tc>
          <w:tcPr>
            <w:tcW w:w="9795" w:type="dxa"/>
            <w:gridSpan w:val="8"/>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F4C94" w:rsidRDefault="00387D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F4C94" w:rsidRDefault="00387D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F4C94">
        <w:trPr>
          <w:trHeight w:hRule="exact" w:val="833"/>
        </w:trPr>
        <w:tc>
          <w:tcPr>
            <w:tcW w:w="10221" w:type="dxa"/>
            <w:gridSpan w:val="10"/>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DF4C94">
        <w:trPr>
          <w:trHeight w:hRule="exact" w:val="277"/>
        </w:trPr>
        <w:tc>
          <w:tcPr>
            <w:tcW w:w="3984" w:type="dxa"/>
            <w:gridSpan w:val="5"/>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155"/>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ФИНАНСЫ И ЭКОНОМИКА</w:t>
            </w:r>
          </w:p>
        </w:tc>
      </w:tr>
      <w:tr w:rsidR="00DF4C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F4C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ВНУТРЕННИЙ АУДИТОР</w:t>
            </w:r>
          </w:p>
        </w:tc>
      </w:tr>
      <w:tr w:rsidR="00DF4C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АУДИТОР</w:t>
            </w:r>
          </w:p>
        </w:tc>
      </w:tr>
      <w:tr w:rsidR="00DF4C94">
        <w:trPr>
          <w:trHeight w:hRule="exact" w:val="124"/>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277"/>
        </w:trPr>
        <w:tc>
          <w:tcPr>
            <w:tcW w:w="5118" w:type="dxa"/>
            <w:gridSpan w:val="7"/>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F4C94">
        <w:trPr>
          <w:trHeight w:hRule="exact" w:val="577"/>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5118" w:type="dxa"/>
            <w:gridSpan w:val="3"/>
            <w:vMerge/>
            <w:shd w:val="clear" w:color="000000" w:fill="FFFFFF"/>
            <w:tcMar>
              <w:left w:w="34" w:type="dxa"/>
              <w:right w:w="34" w:type="dxa"/>
            </w:tcMar>
          </w:tcPr>
          <w:p w:rsidR="00DF4C94" w:rsidRDefault="00DF4C94"/>
        </w:tc>
      </w:tr>
      <w:tr w:rsidR="00DF4C94">
        <w:trPr>
          <w:trHeight w:hRule="exact" w:val="2317"/>
        </w:trPr>
        <w:tc>
          <w:tcPr>
            <w:tcW w:w="143" w:type="dxa"/>
          </w:tcPr>
          <w:p w:rsidR="00DF4C94" w:rsidRDefault="00DF4C94"/>
        </w:tc>
        <w:tc>
          <w:tcPr>
            <w:tcW w:w="285" w:type="dxa"/>
          </w:tcPr>
          <w:p w:rsidR="00DF4C94" w:rsidRDefault="00DF4C94"/>
        </w:tc>
        <w:tc>
          <w:tcPr>
            <w:tcW w:w="710" w:type="dxa"/>
          </w:tcPr>
          <w:p w:rsidR="00DF4C94" w:rsidRDefault="00DF4C94"/>
        </w:tc>
        <w:tc>
          <w:tcPr>
            <w:tcW w:w="1419" w:type="dxa"/>
          </w:tcPr>
          <w:p w:rsidR="00DF4C94" w:rsidRDefault="00DF4C94"/>
        </w:tc>
        <w:tc>
          <w:tcPr>
            <w:tcW w:w="1419" w:type="dxa"/>
          </w:tcPr>
          <w:p w:rsidR="00DF4C94" w:rsidRDefault="00DF4C94"/>
        </w:tc>
        <w:tc>
          <w:tcPr>
            <w:tcW w:w="710" w:type="dxa"/>
          </w:tcPr>
          <w:p w:rsidR="00DF4C94" w:rsidRDefault="00DF4C94"/>
        </w:tc>
        <w:tc>
          <w:tcPr>
            <w:tcW w:w="426" w:type="dxa"/>
          </w:tcPr>
          <w:p w:rsidR="00DF4C94" w:rsidRDefault="00DF4C94"/>
        </w:tc>
        <w:tc>
          <w:tcPr>
            <w:tcW w:w="1277" w:type="dxa"/>
          </w:tcPr>
          <w:p w:rsidR="00DF4C94" w:rsidRDefault="00DF4C94"/>
        </w:tc>
        <w:tc>
          <w:tcPr>
            <w:tcW w:w="993" w:type="dxa"/>
          </w:tcPr>
          <w:p w:rsidR="00DF4C94" w:rsidRDefault="00DF4C94"/>
        </w:tc>
        <w:tc>
          <w:tcPr>
            <w:tcW w:w="2836" w:type="dxa"/>
          </w:tcPr>
          <w:p w:rsidR="00DF4C94" w:rsidRDefault="00DF4C94"/>
        </w:tc>
      </w:tr>
      <w:tr w:rsidR="00DF4C94">
        <w:trPr>
          <w:trHeight w:hRule="exact" w:val="277"/>
        </w:trPr>
        <w:tc>
          <w:tcPr>
            <w:tcW w:w="143" w:type="dxa"/>
          </w:tcPr>
          <w:p w:rsidR="00DF4C94" w:rsidRDefault="00DF4C94"/>
        </w:tc>
        <w:tc>
          <w:tcPr>
            <w:tcW w:w="10079" w:type="dxa"/>
            <w:gridSpan w:val="9"/>
            <w:vMerge w:val="restart"/>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F4C94">
        <w:trPr>
          <w:trHeight w:hRule="exact" w:val="138"/>
        </w:trPr>
        <w:tc>
          <w:tcPr>
            <w:tcW w:w="143" w:type="dxa"/>
          </w:tcPr>
          <w:p w:rsidR="00DF4C94" w:rsidRDefault="00DF4C94"/>
        </w:tc>
        <w:tc>
          <w:tcPr>
            <w:tcW w:w="10079" w:type="dxa"/>
            <w:gridSpan w:val="9"/>
            <w:vMerge/>
            <w:shd w:val="clear" w:color="000000" w:fill="FFFFFF"/>
            <w:tcMar>
              <w:left w:w="34" w:type="dxa"/>
              <w:right w:w="34" w:type="dxa"/>
            </w:tcMar>
          </w:tcPr>
          <w:p w:rsidR="00DF4C94" w:rsidRDefault="00DF4C94"/>
        </w:tc>
      </w:tr>
      <w:tr w:rsidR="00DF4C94">
        <w:trPr>
          <w:trHeight w:hRule="exact" w:val="1666"/>
        </w:trPr>
        <w:tc>
          <w:tcPr>
            <w:tcW w:w="143" w:type="dxa"/>
          </w:tcPr>
          <w:p w:rsidR="00DF4C94" w:rsidRDefault="00DF4C94"/>
        </w:tc>
        <w:tc>
          <w:tcPr>
            <w:tcW w:w="10079" w:type="dxa"/>
            <w:gridSpan w:val="9"/>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F4C94" w:rsidRDefault="00DF4C94">
            <w:pPr>
              <w:spacing w:after="0" w:line="240" w:lineRule="auto"/>
              <w:jc w:val="center"/>
              <w:rPr>
                <w:sz w:val="24"/>
                <w:szCs w:val="24"/>
              </w:rPr>
            </w:pPr>
          </w:p>
          <w:p w:rsidR="00DF4C94" w:rsidRDefault="00387D7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F4C94" w:rsidRDefault="00DF4C94">
            <w:pPr>
              <w:spacing w:after="0" w:line="240" w:lineRule="auto"/>
              <w:jc w:val="center"/>
              <w:rPr>
                <w:sz w:val="24"/>
                <w:szCs w:val="24"/>
              </w:rPr>
            </w:pPr>
          </w:p>
          <w:p w:rsidR="00DF4C94" w:rsidRDefault="00387D77">
            <w:pPr>
              <w:spacing w:after="0" w:line="240" w:lineRule="auto"/>
              <w:jc w:val="center"/>
              <w:rPr>
                <w:sz w:val="24"/>
                <w:szCs w:val="24"/>
              </w:rPr>
            </w:pPr>
            <w:r>
              <w:rPr>
                <w:rFonts w:ascii="Times New Roman" w:hAnsi="Times New Roman" w:cs="Times New Roman"/>
                <w:color w:val="000000"/>
                <w:sz w:val="24"/>
                <w:szCs w:val="24"/>
              </w:rPr>
              <w:t>Омск, 2022</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F4C94">
        <w:trPr>
          <w:trHeight w:hRule="exact" w:val="2222"/>
        </w:trPr>
        <w:tc>
          <w:tcPr>
            <w:tcW w:w="10788"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F4C94" w:rsidRDefault="00DF4C94">
            <w:pPr>
              <w:spacing w:after="0" w:line="240" w:lineRule="auto"/>
              <w:rPr>
                <w:sz w:val="24"/>
                <w:szCs w:val="24"/>
              </w:rPr>
            </w:pPr>
          </w:p>
          <w:p w:rsidR="00DF4C94" w:rsidRDefault="00387D77">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DF4C94" w:rsidRDefault="00DF4C94">
            <w:pPr>
              <w:spacing w:after="0" w:line="240" w:lineRule="auto"/>
              <w:rPr>
                <w:sz w:val="24"/>
                <w:szCs w:val="24"/>
              </w:rPr>
            </w:pPr>
          </w:p>
          <w:p w:rsidR="00DF4C94" w:rsidRDefault="00387D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F4C94" w:rsidRDefault="00387D77">
            <w:pPr>
              <w:spacing w:after="0" w:line="240" w:lineRule="auto"/>
              <w:rPr>
                <w:sz w:val="24"/>
                <w:szCs w:val="24"/>
              </w:rPr>
            </w:pPr>
            <w:r>
              <w:rPr>
                <w:rFonts w:ascii="Times New Roman" w:hAnsi="Times New Roman" w:cs="Times New Roman"/>
                <w:color w:val="000000"/>
                <w:sz w:val="24"/>
                <w:szCs w:val="24"/>
              </w:rPr>
              <w:t>Протокол от 25.03.2022 г.  №8</w:t>
            </w:r>
          </w:p>
        </w:tc>
      </w:tr>
      <w:tr w:rsidR="00DF4C94">
        <w:trPr>
          <w:trHeight w:hRule="exact" w:val="277"/>
        </w:trPr>
        <w:tc>
          <w:tcPr>
            <w:tcW w:w="10788"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277"/>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F4C94">
        <w:trPr>
          <w:trHeight w:hRule="exact" w:val="555"/>
        </w:trPr>
        <w:tc>
          <w:tcPr>
            <w:tcW w:w="9640" w:type="dxa"/>
          </w:tcPr>
          <w:p w:rsidR="00DF4C94" w:rsidRDefault="00DF4C94"/>
        </w:tc>
      </w:tr>
      <w:tr w:rsidR="00DF4C94">
        <w:trPr>
          <w:trHeight w:hRule="exact" w:val="8751"/>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F4C94" w:rsidRDefault="00387D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F4C94" w:rsidRDefault="00387D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F4C94" w:rsidRDefault="00387D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F4C94" w:rsidRDefault="00387D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C94" w:rsidRDefault="00387D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F4C94" w:rsidRDefault="00387D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F4C94" w:rsidRDefault="00387D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F4C94" w:rsidRDefault="00387D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F4C94" w:rsidRDefault="00387D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F4C94" w:rsidRDefault="00387D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F4C94" w:rsidRDefault="00387D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277"/>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F4C94">
        <w:trPr>
          <w:trHeight w:hRule="exact" w:val="14889"/>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F4C94" w:rsidRDefault="00387D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F4C94" w:rsidRDefault="00387D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F4C94" w:rsidRDefault="00387D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F4C94" w:rsidRDefault="00387D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2022/2023 учебный год, утвержденным приказом ректора от 28.03.2022 №28;</w:t>
            </w:r>
          </w:p>
          <w:p w:rsidR="00DF4C94" w:rsidRDefault="00387D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«Инвестиционная банковская деятельность» в течение 2022/2023 учебного года:</w:t>
            </w:r>
          </w:p>
          <w:p w:rsidR="00DF4C94" w:rsidRDefault="00387D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F4C94">
        <w:trPr>
          <w:trHeight w:hRule="exact" w:val="1396"/>
        </w:trPr>
        <w:tc>
          <w:tcPr>
            <w:tcW w:w="9654" w:type="dxa"/>
            <w:gridSpan w:val="3"/>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К.М.02.05 «Инвестиционная банковская деятельность».</w:t>
            </w:r>
          </w:p>
          <w:p w:rsidR="00DF4C94" w:rsidRDefault="00387D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F4C94">
        <w:trPr>
          <w:trHeight w:hRule="exact" w:val="139"/>
        </w:trPr>
        <w:tc>
          <w:tcPr>
            <w:tcW w:w="3970" w:type="dxa"/>
          </w:tcPr>
          <w:p w:rsidR="00DF4C94" w:rsidRDefault="00DF4C94"/>
        </w:tc>
        <w:tc>
          <w:tcPr>
            <w:tcW w:w="4679" w:type="dxa"/>
          </w:tcPr>
          <w:p w:rsidR="00DF4C94" w:rsidRDefault="00DF4C94"/>
        </w:tc>
        <w:tc>
          <w:tcPr>
            <w:tcW w:w="993" w:type="dxa"/>
          </w:tcPr>
          <w:p w:rsidR="00DF4C94" w:rsidRDefault="00DF4C94"/>
        </w:tc>
      </w:tr>
      <w:tr w:rsidR="00DF4C94">
        <w:trPr>
          <w:trHeight w:hRule="exact" w:val="3260"/>
        </w:trPr>
        <w:tc>
          <w:tcPr>
            <w:tcW w:w="9654" w:type="dxa"/>
            <w:gridSpan w:val="3"/>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F4C94" w:rsidRDefault="00387D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«Инвестиционная банковская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F4C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Код компетенции: ПК-2</w:t>
            </w:r>
          </w:p>
          <w:p w:rsidR="00DF4C94" w:rsidRDefault="00387D77">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DF4C94">
        <w:trPr>
          <w:trHeight w:hRule="exact" w:val="585"/>
        </w:trPr>
        <w:tc>
          <w:tcPr>
            <w:tcW w:w="9654" w:type="dxa"/>
            <w:gridSpan w:val="3"/>
            <w:shd w:val="clear" w:color="000000" w:fill="FFFFFF"/>
            <w:tcMar>
              <w:left w:w="34" w:type="dxa"/>
              <w:right w:w="34" w:type="dxa"/>
            </w:tcMar>
          </w:tcPr>
          <w:p w:rsidR="00DF4C94" w:rsidRDefault="00DF4C94">
            <w:pPr>
              <w:spacing w:after="0" w:line="240" w:lineRule="auto"/>
              <w:rPr>
                <w:sz w:val="24"/>
                <w:szCs w:val="24"/>
              </w:rPr>
            </w:pPr>
          </w:p>
          <w:p w:rsidR="00DF4C94" w:rsidRDefault="00387D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F4C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DF4C9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DF4C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DF4C9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DF4C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DF4C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DF4C9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DF4C94">
        <w:trPr>
          <w:trHeight w:hRule="exact" w:val="416"/>
        </w:trPr>
        <w:tc>
          <w:tcPr>
            <w:tcW w:w="3970" w:type="dxa"/>
          </w:tcPr>
          <w:p w:rsidR="00DF4C94" w:rsidRDefault="00DF4C94"/>
        </w:tc>
        <w:tc>
          <w:tcPr>
            <w:tcW w:w="4679" w:type="dxa"/>
          </w:tcPr>
          <w:p w:rsidR="00DF4C94" w:rsidRDefault="00DF4C94"/>
        </w:tc>
        <w:tc>
          <w:tcPr>
            <w:tcW w:w="993" w:type="dxa"/>
          </w:tcPr>
          <w:p w:rsidR="00DF4C94" w:rsidRDefault="00DF4C94"/>
        </w:tc>
      </w:tr>
      <w:tr w:rsidR="00DF4C94">
        <w:trPr>
          <w:trHeight w:hRule="exact" w:val="304"/>
        </w:trPr>
        <w:tc>
          <w:tcPr>
            <w:tcW w:w="9654" w:type="dxa"/>
            <w:gridSpan w:val="3"/>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F4C94">
        <w:trPr>
          <w:trHeight w:hRule="exact" w:val="1637"/>
        </w:trPr>
        <w:tc>
          <w:tcPr>
            <w:tcW w:w="9654" w:type="dxa"/>
            <w:gridSpan w:val="3"/>
            <w:shd w:val="clear" w:color="000000" w:fill="FFFFFF"/>
            <w:tcMar>
              <w:left w:w="34" w:type="dxa"/>
              <w:right w:w="34" w:type="dxa"/>
            </w:tcMar>
          </w:tcPr>
          <w:p w:rsidR="00DF4C94" w:rsidRDefault="00DF4C94">
            <w:pPr>
              <w:spacing w:after="0" w:line="240" w:lineRule="auto"/>
              <w:jc w:val="both"/>
              <w:rPr>
                <w:sz w:val="24"/>
                <w:szCs w:val="24"/>
              </w:rPr>
            </w:pPr>
          </w:p>
          <w:p w:rsidR="00DF4C94" w:rsidRDefault="00387D77">
            <w:pPr>
              <w:spacing w:after="0" w:line="240" w:lineRule="auto"/>
              <w:jc w:val="both"/>
              <w:rPr>
                <w:sz w:val="24"/>
                <w:szCs w:val="24"/>
              </w:rPr>
            </w:pPr>
            <w:r>
              <w:rPr>
                <w:rFonts w:ascii="Times New Roman" w:hAnsi="Times New Roman" w:cs="Times New Roman"/>
                <w:color w:val="000000"/>
                <w:sz w:val="24"/>
                <w:szCs w:val="24"/>
              </w:rPr>
              <w:t>Дисциплина К.М.02.05 «Инвестиционная банковская деятельность»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rsidR="00DF4C94">
        <w:trPr>
          <w:trHeight w:hRule="exact" w:val="138"/>
        </w:trPr>
        <w:tc>
          <w:tcPr>
            <w:tcW w:w="3970" w:type="dxa"/>
          </w:tcPr>
          <w:p w:rsidR="00DF4C94" w:rsidRDefault="00DF4C94"/>
        </w:tc>
        <w:tc>
          <w:tcPr>
            <w:tcW w:w="4679" w:type="dxa"/>
          </w:tcPr>
          <w:p w:rsidR="00DF4C94" w:rsidRDefault="00DF4C94"/>
        </w:tc>
        <w:tc>
          <w:tcPr>
            <w:tcW w:w="993" w:type="dxa"/>
          </w:tcPr>
          <w:p w:rsidR="00DF4C94" w:rsidRDefault="00DF4C94"/>
        </w:tc>
      </w:tr>
      <w:tr w:rsidR="00DF4C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Коды</w:t>
            </w:r>
          </w:p>
          <w:p w:rsidR="00DF4C94" w:rsidRDefault="00387D77">
            <w:pPr>
              <w:spacing w:after="0" w:line="240" w:lineRule="auto"/>
              <w:jc w:val="center"/>
              <w:rPr>
                <w:sz w:val="24"/>
                <w:szCs w:val="24"/>
              </w:rPr>
            </w:pPr>
            <w:r>
              <w:rPr>
                <w:rFonts w:ascii="Times New Roman" w:hAnsi="Times New Roman" w:cs="Times New Roman"/>
                <w:color w:val="000000"/>
                <w:sz w:val="24"/>
                <w:szCs w:val="24"/>
              </w:rPr>
              <w:t>форми-</w:t>
            </w:r>
          </w:p>
          <w:p w:rsidR="00DF4C94" w:rsidRDefault="00387D77">
            <w:pPr>
              <w:spacing w:after="0" w:line="240" w:lineRule="auto"/>
              <w:jc w:val="center"/>
              <w:rPr>
                <w:sz w:val="24"/>
                <w:szCs w:val="24"/>
              </w:rPr>
            </w:pPr>
            <w:r>
              <w:rPr>
                <w:rFonts w:ascii="Times New Roman" w:hAnsi="Times New Roman" w:cs="Times New Roman"/>
                <w:color w:val="000000"/>
                <w:sz w:val="24"/>
                <w:szCs w:val="24"/>
              </w:rPr>
              <w:t>руемых</w:t>
            </w:r>
          </w:p>
          <w:p w:rsidR="00DF4C94" w:rsidRDefault="00387D77">
            <w:pPr>
              <w:spacing w:after="0" w:line="240" w:lineRule="auto"/>
              <w:jc w:val="center"/>
              <w:rPr>
                <w:sz w:val="24"/>
                <w:szCs w:val="24"/>
              </w:rPr>
            </w:pPr>
            <w:r>
              <w:rPr>
                <w:rFonts w:ascii="Times New Roman" w:hAnsi="Times New Roman" w:cs="Times New Roman"/>
                <w:color w:val="000000"/>
                <w:sz w:val="24"/>
                <w:szCs w:val="24"/>
              </w:rPr>
              <w:t>компе-</w:t>
            </w:r>
          </w:p>
          <w:p w:rsidR="00DF4C94" w:rsidRDefault="00387D77">
            <w:pPr>
              <w:spacing w:after="0" w:line="240" w:lineRule="auto"/>
              <w:jc w:val="center"/>
              <w:rPr>
                <w:sz w:val="24"/>
                <w:szCs w:val="24"/>
              </w:rPr>
            </w:pPr>
            <w:r>
              <w:rPr>
                <w:rFonts w:ascii="Times New Roman" w:hAnsi="Times New Roman" w:cs="Times New Roman"/>
                <w:color w:val="000000"/>
                <w:sz w:val="24"/>
                <w:szCs w:val="24"/>
              </w:rPr>
              <w:t>тенций</w:t>
            </w:r>
          </w:p>
        </w:tc>
      </w:tr>
      <w:tr w:rsidR="00DF4C9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DF4C94"/>
        </w:tc>
      </w:tr>
      <w:tr w:rsidR="00DF4C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DF4C94"/>
        </w:tc>
      </w:tr>
      <w:tr w:rsidR="00DF4C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pPr>
            <w:r>
              <w:rPr>
                <w:rFonts w:ascii="Times New Roman" w:hAnsi="Times New Roman" w:cs="Times New Roman"/>
                <w:color w:val="000000"/>
              </w:rPr>
              <w:t>Банковские, страховые и инвестиционные продукты и услуги</w:t>
            </w:r>
          </w:p>
          <w:p w:rsidR="00DF4C94" w:rsidRDefault="00387D77">
            <w:pPr>
              <w:spacing w:after="0" w:line="240" w:lineRule="auto"/>
              <w:jc w:val="center"/>
            </w:pPr>
            <w:r>
              <w:rPr>
                <w:rFonts w:ascii="Times New Roman" w:hAnsi="Times New Roman" w:cs="Times New Roman"/>
                <w:color w:val="000000"/>
              </w:rPr>
              <w:t>Деньги, кредит, банки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pPr>
            <w:r>
              <w:rPr>
                <w:rFonts w:ascii="Times New Roman" w:hAnsi="Times New Roman" w:cs="Times New Roman"/>
                <w:color w:val="000000"/>
              </w:rPr>
              <w:t>Инвестиционный менеджмент и маркетинг</w:t>
            </w:r>
          </w:p>
          <w:p w:rsidR="00DF4C94" w:rsidRDefault="00387D77">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ПК-2</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F4C94">
        <w:trPr>
          <w:trHeight w:hRule="exact" w:val="1125"/>
        </w:trPr>
        <w:tc>
          <w:tcPr>
            <w:tcW w:w="9654" w:type="dxa"/>
            <w:gridSpan w:val="5"/>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F4C94">
        <w:trPr>
          <w:trHeight w:hRule="exact" w:val="585"/>
        </w:trPr>
        <w:tc>
          <w:tcPr>
            <w:tcW w:w="9654" w:type="dxa"/>
            <w:gridSpan w:val="5"/>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F4C94" w:rsidRDefault="00387D77">
            <w:pPr>
              <w:spacing w:after="0" w:line="240" w:lineRule="auto"/>
              <w:jc w:val="center"/>
              <w:rPr>
                <w:sz w:val="24"/>
                <w:szCs w:val="24"/>
              </w:rPr>
            </w:pPr>
            <w:r>
              <w:rPr>
                <w:rFonts w:ascii="Times New Roman" w:hAnsi="Times New Roman" w:cs="Times New Roman"/>
                <w:color w:val="000000"/>
                <w:sz w:val="24"/>
                <w:szCs w:val="24"/>
              </w:rPr>
              <w:t>Из них:</w:t>
            </w:r>
          </w:p>
        </w:tc>
      </w:tr>
      <w:tr w:rsidR="00DF4C94">
        <w:trPr>
          <w:trHeight w:hRule="exact" w:val="138"/>
        </w:trPr>
        <w:tc>
          <w:tcPr>
            <w:tcW w:w="5671" w:type="dxa"/>
          </w:tcPr>
          <w:p w:rsidR="00DF4C94" w:rsidRDefault="00DF4C94"/>
        </w:tc>
        <w:tc>
          <w:tcPr>
            <w:tcW w:w="1702" w:type="dxa"/>
          </w:tcPr>
          <w:p w:rsidR="00DF4C94" w:rsidRDefault="00DF4C94"/>
        </w:tc>
        <w:tc>
          <w:tcPr>
            <w:tcW w:w="426" w:type="dxa"/>
          </w:tcPr>
          <w:p w:rsidR="00DF4C94" w:rsidRDefault="00DF4C94"/>
        </w:tc>
        <w:tc>
          <w:tcPr>
            <w:tcW w:w="710" w:type="dxa"/>
          </w:tcPr>
          <w:p w:rsidR="00DF4C94" w:rsidRDefault="00DF4C94"/>
        </w:tc>
        <w:tc>
          <w:tcPr>
            <w:tcW w:w="1135" w:type="dxa"/>
          </w:tcPr>
          <w:p w:rsidR="00DF4C94" w:rsidRDefault="00DF4C94"/>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54</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18</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0</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18</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18</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54</w:t>
            </w:r>
          </w:p>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0</w:t>
            </w:r>
          </w:p>
        </w:tc>
      </w:tr>
      <w:tr w:rsidR="00DF4C94">
        <w:trPr>
          <w:trHeight w:hRule="exact" w:val="416"/>
        </w:trPr>
        <w:tc>
          <w:tcPr>
            <w:tcW w:w="5671" w:type="dxa"/>
          </w:tcPr>
          <w:p w:rsidR="00DF4C94" w:rsidRDefault="00DF4C94"/>
        </w:tc>
        <w:tc>
          <w:tcPr>
            <w:tcW w:w="1702" w:type="dxa"/>
          </w:tcPr>
          <w:p w:rsidR="00DF4C94" w:rsidRDefault="00DF4C94"/>
        </w:tc>
        <w:tc>
          <w:tcPr>
            <w:tcW w:w="426" w:type="dxa"/>
          </w:tcPr>
          <w:p w:rsidR="00DF4C94" w:rsidRDefault="00DF4C94"/>
        </w:tc>
        <w:tc>
          <w:tcPr>
            <w:tcW w:w="710" w:type="dxa"/>
          </w:tcPr>
          <w:p w:rsidR="00DF4C94" w:rsidRDefault="00DF4C94"/>
        </w:tc>
        <w:tc>
          <w:tcPr>
            <w:tcW w:w="1135" w:type="dxa"/>
          </w:tcPr>
          <w:p w:rsidR="00DF4C94" w:rsidRDefault="00DF4C94"/>
        </w:tc>
      </w:tr>
      <w:tr w:rsidR="00DF4C9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зачеты 4</w:t>
            </w:r>
          </w:p>
        </w:tc>
      </w:tr>
      <w:tr w:rsidR="00DF4C94">
        <w:trPr>
          <w:trHeight w:hRule="exact" w:val="277"/>
        </w:trPr>
        <w:tc>
          <w:tcPr>
            <w:tcW w:w="5671" w:type="dxa"/>
          </w:tcPr>
          <w:p w:rsidR="00DF4C94" w:rsidRDefault="00DF4C94"/>
        </w:tc>
        <w:tc>
          <w:tcPr>
            <w:tcW w:w="1702" w:type="dxa"/>
          </w:tcPr>
          <w:p w:rsidR="00DF4C94" w:rsidRDefault="00DF4C94"/>
        </w:tc>
        <w:tc>
          <w:tcPr>
            <w:tcW w:w="426" w:type="dxa"/>
          </w:tcPr>
          <w:p w:rsidR="00DF4C94" w:rsidRDefault="00DF4C94"/>
        </w:tc>
        <w:tc>
          <w:tcPr>
            <w:tcW w:w="710" w:type="dxa"/>
          </w:tcPr>
          <w:p w:rsidR="00DF4C94" w:rsidRDefault="00DF4C94"/>
        </w:tc>
        <w:tc>
          <w:tcPr>
            <w:tcW w:w="1135" w:type="dxa"/>
          </w:tcPr>
          <w:p w:rsidR="00DF4C94" w:rsidRDefault="00DF4C94"/>
        </w:tc>
      </w:tr>
      <w:tr w:rsidR="00DF4C94">
        <w:trPr>
          <w:trHeight w:hRule="exact" w:val="1666"/>
        </w:trPr>
        <w:tc>
          <w:tcPr>
            <w:tcW w:w="9654" w:type="dxa"/>
            <w:gridSpan w:val="5"/>
            <w:shd w:val="clear" w:color="000000" w:fill="FFFFFF"/>
            <w:tcMar>
              <w:left w:w="34" w:type="dxa"/>
              <w:right w:w="34" w:type="dxa"/>
            </w:tcMar>
          </w:tcPr>
          <w:p w:rsidR="00DF4C94" w:rsidRDefault="00DF4C94">
            <w:pPr>
              <w:spacing w:after="0" w:line="240" w:lineRule="auto"/>
              <w:jc w:val="center"/>
              <w:rPr>
                <w:sz w:val="24"/>
                <w:szCs w:val="24"/>
              </w:rPr>
            </w:pPr>
          </w:p>
          <w:p w:rsidR="00DF4C94" w:rsidRDefault="00387D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F4C94" w:rsidRDefault="00DF4C94">
            <w:pPr>
              <w:spacing w:after="0" w:line="240" w:lineRule="auto"/>
              <w:jc w:val="center"/>
              <w:rPr>
                <w:sz w:val="24"/>
                <w:szCs w:val="24"/>
              </w:rPr>
            </w:pPr>
          </w:p>
          <w:p w:rsidR="00DF4C94" w:rsidRDefault="00387D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F4C94">
        <w:trPr>
          <w:trHeight w:hRule="exact" w:val="416"/>
        </w:trPr>
        <w:tc>
          <w:tcPr>
            <w:tcW w:w="5671" w:type="dxa"/>
          </w:tcPr>
          <w:p w:rsidR="00DF4C94" w:rsidRDefault="00DF4C94"/>
        </w:tc>
        <w:tc>
          <w:tcPr>
            <w:tcW w:w="1702" w:type="dxa"/>
          </w:tcPr>
          <w:p w:rsidR="00DF4C94" w:rsidRDefault="00DF4C94"/>
        </w:tc>
        <w:tc>
          <w:tcPr>
            <w:tcW w:w="426" w:type="dxa"/>
          </w:tcPr>
          <w:p w:rsidR="00DF4C94" w:rsidRDefault="00DF4C94"/>
        </w:tc>
        <w:tc>
          <w:tcPr>
            <w:tcW w:w="710" w:type="dxa"/>
          </w:tcPr>
          <w:p w:rsidR="00DF4C94" w:rsidRDefault="00DF4C94"/>
        </w:tc>
        <w:tc>
          <w:tcPr>
            <w:tcW w:w="1135" w:type="dxa"/>
          </w:tcPr>
          <w:p w:rsidR="00DF4C94" w:rsidRDefault="00DF4C94"/>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F4C94" w:rsidRDefault="00387D77">
            <w:pPr>
              <w:spacing w:after="0" w:line="240" w:lineRule="auto"/>
              <w:jc w:val="center"/>
              <w:rPr>
                <w:sz w:val="24"/>
                <w:szCs w:val="24"/>
              </w:rPr>
            </w:pPr>
            <w:r>
              <w:rPr>
                <w:rFonts w:ascii="Times New Roman" w:hAnsi="Times New Roman" w:cs="Times New Roman"/>
                <w:color w:val="000000"/>
                <w:sz w:val="24"/>
                <w:szCs w:val="24"/>
              </w:rPr>
              <w:t>Часов</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Введение в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C94" w:rsidRDefault="00DF4C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C94" w:rsidRDefault="00DF4C9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F4C94" w:rsidRDefault="00DF4C94"/>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Структура и содержание инвестиционного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Источники финансирования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Анализ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Планирование денежных потоков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Методы анализа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Анализ рисков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54</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2</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r>
      <w:tr w:rsidR="00DF4C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0</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F4C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DF4C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color w:val="000000"/>
                <w:sz w:val="24"/>
                <w:szCs w:val="24"/>
              </w:rPr>
              <w:t>108</w:t>
            </w:r>
          </w:p>
        </w:tc>
      </w:tr>
      <w:tr w:rsidR="00DF4C94">
        <w:trPr>
          <w:trHeight w:hRule="exact" w:val="15113"/>
        </w:trPr>
        <w:tc>
          <w:tcPr>
            <w:tcW w:w="9654" w:type="dxa"/>
            <w:gridSpan w:val="4"/>
            <w:shd w:val="clear" w:color="000000" w:fill="FFFFFF"/>
            <w:tcMar>
              <w:left w:w="34" w:type="dxa"/>
              <w:right w:w="34" w:type="dxa"/>
            </w:tcMar>
          </w:tcPr>
          <w:p w:rsidR="00DF4C94" w:rsidRDefault="00DF4C94">
            <w:pPr>
              <w:spacing w:after="0" w:line="240" w:lineRule="auto"/>
              <w:jc w:val="both"/>
              <w:rPr>
                <w:sz w:val="20"/>
                <w:szCs w:val="20"/>
              </w:rPr>
            </w:pPr>
          </w:p>
          <w:p w:rsidR="00DF4C94" w:rsidRDefault="00387D77">
            <w:pPr>
              <w:spacing w:after="0" w:line="240" w:lineRule="auto"/>
              <w:jc w:val="both"/>
              <w:rPr>
                <w:sz w:val="20"/>
                <w:szCs w:val="20"/>
              </w:rPr>
            </w:pPr>
            <w:r>
              <w:rPr>
                <w:rFonts w:ascii="Times New Roman" w:hAnsi="Times New Roman" w:cs="Times New Roman"/>
                <w:color w:val="000000"/>
                <w:sz w:val="20"/>
                <w:szCs w:val="20"/>
              </w:rPr>
              <w:t>* Примечания:</w:t>
            </w:r>
          </w:p>
          <w:p w:rsidR="00DF4C94" w:rsidRDefault="00387D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F4C94" w:rsidRDefault="00387D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F4C94" w:rsidRDefault="00387D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F4C94" w:rsidRDefault="00387D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F4C94" w:rsidRDefault="00387D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F4C94" w:rsidRDefault="00387D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F4C94" w:rsidRDefault="00387D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F4C94" w:rsidRDefault="00387D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2719"/>
        </w:trPr>
        <w:tc>
          <w:tcPr>
            <w:tcW w:w="9654" w:type="dxa"/>
            <w:shd w:val="clear" w:color="000000" w:fill="FFFFFF"/>
            <w:tcMar>
              <w:left w:w="34" w:type="dxa"/>
              <w:right w:w="34" w:type="dxa"/>
            </w:tcMar>
          </w:tcPr>
          <w:p w:rsidR="00DF4C94" w:rsidRDefault="00387D77">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F4C94">
        <w:trPr>
          <w:trHeight w:hRule="exact" w:val="585"/>
        </w:trPr>
        <w:tc>
          <w:tcPr>
            <w:tcW w:w="9654" w:type="dxa"/>
            <w:shd w:val="clear" w:color="000000" w:fill="FFFFFF"/>
            <w:tcMar>
              <w:left w:w="34" w:type="dxa"/>
              <w:right w:w="34" w:type="dxa"/>
            </w:tcMar>
          </w:tcPr>
          <w:p w:rsidR="00DF4C94" w:rsidRDefault="00DF4C94">
            <w:pPr>
              <w:spacing w:after="0" w:line="240" w:lineRule="auto"/>
              <w:rPr>
                <w:sz w:val="24"/>
                <w:szCs w:val="24"/>
              </w:rPr>
            </w:pPr>
          </w:p>
          <w:p w:rsidR="00DF4C94" w:rsidRDefault="00387D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F4C94">
        <w:trPr>
          <w:trHeight w:hRule="exact" w:val="277"/>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F4C94">
        <w:trPr>
          <w:trHeight w:hRule="exact" w:val="26"/>
        </w:trPr>
        <w:tc>
          <w:tcPr>
            <w:tcW w:w="9654" w:type="dxa"/>
            <w:vMerge w:val="restart"/>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Понятие инвестиций.</w:t>
            </w:r>
          </w:p>
        </w:tc>
      </w:tr>
      <w:tr w:rsidR="00DF4C94">
        <w:trPr>
          <w:trHeight w:hRule="exact" w:val="277"/>
        </w:trPr>
        <w:tc>
          <w:tcPr>
            <w:tcW w:w="9654" w:type="dxa"/>
            <w:vMerge/>
            <w:shd w:val="clear" w:color="000000" w:fill="FFFFFF"/>
            <w:tcMar>
              <w:left w:w="34" w:type="dxa"/>
              <w:right w:w="34" w:type="dxa"/>
            </w:tcMar>
          </w:tcPr>
          <w:p w:rsidR="00DF4C94" w:rsidRDefault="00DF4C94"/>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Понятие и классификация инвестиций.</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Структура и содержание инвестиционного анализа.</w:t>
            </w:r>
          </w:p>
        </w:tc>
      </w:tr>
      <w:tr w:rsidR="00DF4C94">
        <w:trPr>
          <w:trHeight w:hRule="exact" w:val="826"/>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Законодательная база инвестиционного анализа. Законодательство регламентирующее реальные инвестиции. Структура и содержание инвестиционного анализа. Информационная база инвестиционного анализа.</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Понятие и сущность инвестиционного проекта. Классификация инвестиционных проектов.</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Источники финансирования проекта.</w:t>
            </w:r>
          </w:p>
        </w:tc>
      </w:tr>
      <w:tr w:rsidR="00DF4C94">
        <w:trPr>
          <w:trHeight w:hRule="exact" w:val="826"/>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Источники финансирования: акционерный капитал, заемное финансирование, лизинг.</w:t>
            </w:r>
          </w:p>
          <w:p w:rsidR="00DF4C94" w:rsidRDefault="00387D77">
            <w:pPr>
              <w:spacing w:after="0" w:line="240" w:lineRule="auto"/>
              <w:jc w:val="both"/>
              <w:rPr>
                <w:sz w:val="24"/>
                <w:szCs w:val="24"/>
              </w:rPr>
            </w:pPr>
            <w:r>
              <w:rPr>
                <w:rFonts w:ascii="Times New Roman" w:hAnsi="Times New Roman" w:cs="Times New Roman"/>
                <w:color w:val="000000"/>
                <w:sz w:val="24"/>
                <w:szCs w:val="24"/>
              </w:rPr>
              <w:t>Долгосрочное долговое финансирование.</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Анализ денежных потоков проекта.</w:t>
            </w:r>
          </w:p>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Понятие и структура денежных потоков проекта.</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Планирование денежных потоков проекта</w:t>
            </w:r>
          </w:p>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Планирование денежных потоков по операционной (производственной) деятельности.</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Методы анализа эффективности инвестиций.</w:t>
            </w:r>
          </w:p>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Статические и динамические методы оценки инвестиций. Метод простого срока окупаемости.</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Анализ рисков проекта</w:t>
            </w:r>
          </w:p>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Экономическая природа рисков, их влияние на показатели эффективности долгосрочного инвестирования.</w:t>
            </w:r>
          </w:p>
        </w:tc>
      </w:tr>
      <w:tr w:rsidR="00DF4C94">
        <w:trPr>
          <w:trHeight w:hRule="exact" w:val="277"/>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Финансовые и реальные инвестиции.</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Законодательство о рынке ценных бумаг.</w:t>
            </w:r>
          </w:p>
          <w:p w:rsidR="00DF4C94" w:rsidRDefault="00387D77">
            <w:pPr>
              <w:spacing w:after="0" w:line="240" w:lineRule="auto"/>
              <w:jc w:val="both"/>
              <w:rPr>
                <w:sz w:val="24"/>
                <w:szCs w:val="24"/>
              </w:rPr>
            </w:pPr>
            <w:r>
              <w:rPr>
                <w:rFonts w:ascii="Times New Roman" w:hAnsi="Times New Roman" w:cs="Times New Roman"/>
                <w:color w:val="000000"/>
                <w:sz w:val="24"/>
                <w:szCs w:val="24"/>
              </w:rPr>
              <w:t>Объекты и субъекты инвестиционного анализа.</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Альтернативные проекты.</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Кредиты как форма финансирования инвестиционных проектов.</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28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Содержание денежных потоков по видам деятельности проекта.</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Планирование производственной мощности предприятия, разработка программы реализации проекта</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Метод дисконтированного срока окупаемости. Метод индекса рентабельности. Метод индекса чистого дохода.</w:t>
            </w:r>
          </w:p>
        </w:tc>
      </w:tr>
      <w:tr w:rsidR="00DF4C94">
        <w:trPr>
          <w:trHeight w:hRule="exact" w:val="14"/>
        </w:trPr>
        <w:tc>
          <w:tcPr>
            <w:tcW w:w="9640" w:type="dxa"/>
          </w:tcPr>
          <w:p w:rsidR="00DF4C94" w:rsidRDefault="00DF4C94"/>
        </w:tc>
      </w:tr>
      <w:tr w:rsidR="00DF4C94">
        <w:trPr>
          <w:trHeight w:hRule="exact" w:val="277"/>
        </w:trPr>
        <w:tc>
          <w:tcPr>
            <w:tcW w:w="9654" w:type="dxa"/>
            <w:shd w:val="clear" w:color="000000" w:fill="FFFFFF"/>
            <w:tcMar>
              <w:left w:w="34" w:type="dxa"/>
              <w:right w:w="34" w:type="dxa"/>
            </w:tcMar>
          </w:tcPr>
          <w:p w:rsidR="00DF4C94" w:rsidRDefault="00DF4C94"/>
        </w:tc>
      </w:tr>
      <w:tr w:rsidR="00DF4C94">
        <w:trPr>
          <w:trHeight w:hRule="exact" w:val="55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Классификация рисков. Концепция инвестиционного проектирования в условиях неопределенности и риска.</w:t>
            </w:r>
          </w:p>
        </w:tc>
      </w:tr>
      <w:tr w:rsidR="00DF4C94">
        <w:trPr>
          <w:trHeight w:hRule="exact" w:val="277"/>
        </w:trPr>
        <w:tc>
          <w:tcPr>
            <w:tcW w:w="9654" w:type="dxa"/>
            <w:shd w:val="clear" w:color="000000" w:fill="FFFFFF"/>
            <w:tcMar>
              <w:left w:w="34" w:type="dxa"/>
              <w:right w:w="34" w:type="dxa"/>
            </w:tcMar>
          </w:tcPr>
          <w:p w:rsidR="00DF4C94" w:rsidRDefault="00387D7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F4C94">
        <w:trPr>
          <w:trHeight w:hRule="exact" w:val="147"/>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Роль инвестиций в развитии экономики.</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Информация фондового рынка. Информационная база субъектов реальных инвестиций.</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Понятие, структура и содержание жизненного цикла проекта.</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Ипотечные ссуды.</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Оценка перпектив и результатов проекта</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Анализ рисков при планировании денежных потоков</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58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Динамические методы оценки инвестиций. Метод чистого дисконтированного дохода.</w:t>
            </w:r>
          </w:p>
          <w:p w:rsidR="00DF4C94" w:rsidRDefault="00387D77">
            <w:pPr>
              <w:spacing w:after="0" w:line="240" w:lineRule="auto"/>
              <w:rPr>
                <w:sz w:val="24"/>
                <w:szCs w:val="24"/>
              </w:rPr>
            </w:pPr>
            <w:r>
              <w:rPr>
                <w:rFonts w:ascii="Times New Roman" w:hAnsi="Times New Roman" w:cs="Times New Roman"/>
                <w:color w:val="000000"/>
                <w:sz w:val="24"/>
                <w:szCs w:val="24"/>
              </w:rPr>
              <w:t>Метод внутренней нормы доходности.</w:t>
            </w:r>
          </w:p>
        </w:tc>
      </w:tr>
      <w:tr w:rsidR="00DF4C94">
        <w:trPr>
          <w:trHeight w:hRule="exact" w:val="8"/>
        </w:trPr>
        <w:tc>
          <w:tcPr>
            <w:tcW w:w="9640" w:type="dxa"/>
          </w:tcPr>
          <w:p w:rsidR="00DF4C94" w:rsidRDefault="00DF4C94"/>
        </w:tc>
      </w:tr>
      <w:tr w:rsidR="00DF4C94">
        <w:trPr>
          <w:trHeight w:hRule="exact" w:val="314"/>
        </w:trPr>
        <w:tc>
          <w:tcPr>
            <w:tcW w:w="9654" w:type="dxa"/>
            <w:shd w:val="clear" w:color="000000" w:fill="FFFFFF"/>
            <w:tcMar>
              <w:left w:w="34" w:type="dxa"/>
              <w:right w:w="34" w:type="dxa"/>
            </w:tcMar>
          </w:tcPr>
          <w:p w:rsidR="00DF4C94" w:rsidRDefault="00DF4C94">
            <w:pPr>
              <w:spacing w:after="0" w:line="240" w:lineRule="auto"/>
              <w:jc w:val="center"/>
              <w:rPr>
                <w:sz w:val="24"/>
                <w:szCs w:val="24"/>
              </w:rPr>
            </w:pPr>
          </w:p>
        </w:tc>
      </w:tr>
      <w:tr w:rsidR="00DF4C94">
        <w:trPr>
          <w:trHeight w:hRule="exact" w:val="21"/>
        </w:trPr>
        <w:tc>
          <w:tcPr>
            <w:tcW w:w="9640" w:type="dxa"/>
          </w:tcPr>
          <w:p w:rsidR="00DF4C94" w:rsidRDefault="00DF4C94"/>
        </w:tc>
      </w:tr>
      <w:tr w:rsidR="00DF4C94">
        <w:trPr>
          <w:trHeight w:hRule="exact" w:val="58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Анализ чувствительности проекта к факторам риска.</w:t>
            </w:r>
          </w:p>
          <w:p w:rsidR="00DF4C94" w:rsidRDefault="00387D77">
            <w:pPr>
              <w:spacing w:after="0" w:line="240" w:lineRule="auto"/>
              <w:rPr>
                <w:sz w:val="24"/>
                <w:szCs w:val="24"/>
              </w:rPr>
            </w:pPr>
            <w:r>
              <w:rPr>
                <w:rFonts w:ascii="Times New Roman" w:hAnsi="Times New Roman" w:cs="Times New Roman"/>
                <w:color w:val="000000"/>
                <w:sz w:val="24"/>
                <w:szCs w:val="24"/>
              </w:rPr>
              <w:t>Метод анализа сценариев проекта.</w:t>
            </w:r>
          </w:p>
        </w:tc>
      </w:tr>
      <w:tr w:rsidR="00DF4C94">
        <w:trPr>
          <w:trHeight w:hRule="exact" w:val="855"/>
        </w:trPr>
        <w:tc>
          <w:tcPr>
            <w:tcW w:w="9654" w:type="dxa"/>
            <w:shd w:val="clear" w:color="000000" w:fill="FFFFFF"/>
            <w:tcMar>
              <w:left w:w="34" w:type="dxa"/>
              <w:right w:w="34" w:type="dxa"/>
            </w:tcMar>
          </w:tcPr>
          <w:p w:rsidR="00DF4C94" w:rsidRDefault="00DF4C94">
            <w:pPr>
              <w:spacing w:after="0" w:line="240" w:lineRule="auto"/>
              <w:rPr>
                <w:sz w:val="24"/>
                <w:szCs w:val="24"/>
              </w:rPr>
            </w:pPr>
          </w:p>
          <w:p w:rsidR="00DF4C94" w:rsidRDefault="00387D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F4C94">
        <w:trPr>
          <w:trHeight w:hRule="exact" w:val="5182"/>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«Инвестиционная банковская деятельность» / Алексеев Н.Е.. – Омск: Изд-во Омской гуманитарной академии, 2022.</w:t>
            </w:r>
          </w:p>
          <w:p w:rsidR="00DF4C94" w:rsidRDefault="00387D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F4C94" w:rsidRDefault="00387D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F4C94" w:rsidRDefault="00387D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F4C94">
        <w:trPr>
          <w:trHeight w:hRule="exact" w:val="138"/>
        </w:trPr>
        <w:tc>
          <w:tcPr>
            <w:tcW w:w="9640" w:type="dxa"/>
          </w:tcPr>
          <w:p w:rsidR="00DF4C94" w:rsidRDefault="00DF4C94"/>
        </w:tc>
      </w:tr>
      <w:tr w:rsidR="00DF4C94">
        <w:trPr>
          <w:trHeight w:hRule="exact" w:val="85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F4C94" w:rsidRDefault="00387D77">
            <w:pPr>
              <w:spacing w:after="0" w:line="240" w:lineRule="auto"/>
              <w:rPr>
                <w:sz w:val="24"/>
                <w:szCs w:val="24"/>
              </w:rPr>
            </w:pPr>
            <w:r>
              <w:rPr>
                <w:rFonts w:ascii="Times New Roman" w:hAnsi="Times New Roman" w:cs="Times New Roman"/>
                <w:b/>
                <w:color w:val="000000"/>
                <w:sz w:val="24"/>
                <w:szCs w:val="24"/>
              </w:rPr>
              <w:t>Основная:</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F4C94">
        <w:trPr>
          <w:trHeight w:hRule="exact" w:val="555"/>
        </w:trPr>
        <w:tc>
          <w:tcPr>
            <w:tcW w:w="9654" w:type="dxa"/>
            <w:gridSpan w:val="2"/>
            <w:shd w:val="clear" w:color="000000" w:fill="FFFFFF"/>
            <w:tcMar>
              <w:left w:w="34" w:type="dxa"/>
              <w:right w:w="34" w:type="dxa"/>
            </w:tcMar>
          </w:tcPr>
          <w:p w:rsidR="00DF4C94" w:rsidRDefault="00387D77">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C4485">
                <w:rPr>
                  <w:rStyle w:val="a3"/>
                </w:rPr>
                <w:t>https://urait.ru/bcode/450229</w:t>
              </w:r>
            </w:hyperlink>
            <w:r>
              <w:t xml:space="preserve"> </w:t>
            </w:r>
          </w:p>
        </w:tc>
      </w:tr>
      <w:tr w:rsidR="00DF4C94">
        <w:trPr>
          <w:trHeight w:hRule="exact" w:val="826"/>
        </w:trPr>
        <w:tc>
          <w:tcPr>
            <w:tcW w:w="9654" w:type="dxa"/>
            <w:gridSpan w:val="2"/>
            <w:shd w:val="clear" w:color="000000" w:fill="FFFFFF"/>
            <w:tcMar>
              <w:left w:w="34" w:type="dxa"/>
              <w:right w:w="34" w:type="dxa"/>
            </w:tcMar>
          </w:tcPr>
          <w:p w:rsidR="00DF4C94" w:rsidRDefault="00387D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C4485">
                <w:rPr>
                  <w:rStyle w:val="a3"/>
                </w:rPr>
                <w:t>https://urait.ru/bcode/458850</w:t>
              </w:r>
            </w:hyperlink>
            <w:r>
              <w:t xml:space="preserve"> </w:t>
            </w:r>
          </w:p>
        </w:tc>
      </w:tr>
      <w:tr w:rsidR="00DF4C94">
        <w:trPr>
          <w:trHeight w:hRule="exact" w:val="277"/>
        </w:trPr>
        <w:tc>
          <w:tcPr>
            <w:tcW w:w="285" w:type="dxa"/>
          </w:tcPr>
          <w:p w:rsidR="00DF4C94" w:rsidRDefault="00DF4C94"/>
        </w:tc>
        <w:tc>
          <w:tcPr>
            <w:tcW w:w="9370"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i/>
                <w:color w:val="000000"/>
                <w:sz w:val="24"/>
                <w:szCs w:val="24"/>
              </w:rPr>
              <w:t>Дополнительная:</w:t>
            </w:r>
          </w:p>
        </w:tc>
      </w:tr>
      <w:tr w:rsidR="00DF4C94">
        <w:trPr>
          <w:trHeight w:hRule="exact" w:val="26"/>
        </w:trPr>
        <w:tc>
          <w:tcPr>
            <w:tcW w:w="9654" w:type="dxa"/>
            <w:gridSpan w:val="2"/>
            <w:vMerge w:val="restart"/>
            <w:shd w:val="clear" w:color="000000" w:fill="FFFFFF"/>
            <w:tcMar>
              <w:left w:w="34" w:type="dxa"/>
              <w:right w:w="34" w:type="dxa"/>
            </w:tcMar>
          </w:tcPr>
          <w:p w:rsidR="00DF4C94" w:rsidRDefault="00387D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C4485">
                <w:rPr>
                  <w:rStyle w:val="a3"/>
                </w:rPr>
                <w:t>https://urait.ru/bcode/466270</w:t>
              </w:r>
            </w:hyperlink>
            <w:r>
              <w:t xml:space="preserve"> </w:t>
            </w:r>
          </w:p>
        </w:tc>
      </w:tr>
      <w:tr w:rsidR="00DF4C94">
        <w:trPr>
          <w:trHeight w:hRule="exact" w:val="528"/>
        </w:trPr>
        <w:tc>
          <w:tcPr>
            <w:tcW w:w="9654" w:type="dxa"/>
            <w:gridSpan w:val="2"/>
            <w:vMerge/>
            <w:shd w:val="clear" w:color="000000" w:fill="FFFFFF"/>
            <w:tcMar>
              <w:left w:w="34" w:type="dxa"/>
              <w:right w:w="34" w:type="dxa"/>
            </w:tcMar>
          </w:tcPr>
          <w:p w:rsidR="00DF4C94" w:rsidRDefault="00DF4C94"/>
        </w:tc>
      </w:tr>
      <w:tr w:rsidR="00DF4C94">
        <w:trPr>
          <w:trHeight w:hRule="exact" w:val="555"/>
        </w:trPr>
        <w:tc>
          <w:tcPr>
            <w:tcW w:w="9654" w:type="dxa"/>
            <w:gridSpan w:val="2"/>
            <w:shd w:val="clear" w:color="000000" w:fill="FFFFFF"/>
            <w:tcMar>
              <w:left w:w="34" w:type="dxa"/>
              <w:right w:w="34" w:type="dxa"/>
            </w:tcMar>
          </w:tcPr>
          <w:p w:rsidR="00DF4C94" w:rsidRDefault="00387D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C4485">
                <w:rPr>
                  <w:rStyle w:val="a3"/>
                </w:rPr>
                <w:t>https://urait.ru/bcode/452513</w:t>
              </w:r>
            </w:hyperlink>
            <w:r>
              <w:t xml:space="preserve"> </w:t>
            </w:r>
          </w:p>
        </w:tc>
      </w:tr>
      <w:tr w:rsidR="00DF4C94">
        <w:trPr>
          <w:trHeight w:hRule="exact" w:val="585"/>
        </w:trPr>
        <w:tc>
          <w:tcPr>
            <w:tcW w:w="9654" w:type="dxa"/>
            <w:gridSpan w:val="2"/>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F4C94">
        <w:trPr>
          <w:trHeight w:hRule="exact" w:val="9751"/>
        </w:trPr>
        <w:tc>
          <w:tcPr>
            <w:tcW w:w="9654" w:type="dxa"/>
            <w:gridSpan w:val="2"/>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C4485">
                <w:rPr>
                  <w:rStyle w:val="a3"/>
                  <w:rFonts w:ascii="Times New Roman" w:hAnsi="Times New Roman" w:cs="Times New Roman"/>
                  <w:sz w:val="24"/>
                  <w:szCs w:val="24"/>
                </w:rPr>
                <w:t>http://www.iprbookshop.ru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C4485">
                <w:rPr>
                  <w:rStyle w:val="a3"/>
                  <w:rFonts w:ascii="Times New Roman" w:hAnsi="Times New Roman" w:cs="Times New Roman"/>
                  <w:sz w:val="24"/>
                  <w:szCs w:val="24"/>
                </w:rPr>
                <w:t>http://biblio-online.ru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C4485">
                <w:rPr>
                  <w:rStyle w:val="a3"/>
                  <w:rFonts w:ascii="Times New Roman" w:hAnsi="Times New Roman" w:cs="Times New Roman"/>
                  <w:sz w:val="24"/>
                  <w:szCs w:val="24"/>
                </w:rPr>
                <w:t>http://window.edu.ru/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C4485">
                <w:rPr>
                  <w:rStyle w:val="a3"/>
                  <w:rFonts w:ascii="Times New Roman" w:hAnsi="Times New Roman" w:cs="Times New Roman"/>
                  <w:sz w:val="24"/>
                  <w:szCs w:val="24"/>
                </w:rPr>
                <w:t>http://elibrary.ru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C4485">
                <w:rPr>
                  <w:rStyle w:val="a3"/>
                  <w:rFonts w:ascii="Times New Roman" w:hAnsi="Times New Roman" w:cs="Times New Roman"/>
                  <w:sz w:val="24"/>
                  <w:szCs w:val="24"/>
                </w:rPr>
                <w:t>http://www.sciencedirect.com</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C4485">
                <w:rPr>
                  <w:rStyle w:val="a3"/>
                  <w:rFonts w:ascii="Times New Roman" w:hAnsi="Times New Roman" w:cs="Times New Roman"/>
                  <w:sz w:val="24"/>
                  <w:szCs w:val="24"/>
                </w:rPr>
                <w:t>http://journals.cambridge.org</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C4485">
                <w:rPr>
                  <w:rStyle w:val="a3"/>
                  <w:rFonts w:ascii="Times New Roman" w:hAnsi="Times New Roman" w:cs="Times New Roman"/>
                  <w:sz w:val="24"/>
                  <w:szCs w:val="24"/>
                </w:rPr>
                <w:t>http://www.oxfordjoumals.org</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C4485">
                <w:rPr>
                  <w:rStyle w:val="a3"/>
                  <w:rFonts w:ascii="Times New Roman" w:hAnsi="Times New Roman" w:cs="Times New Roman"/>
                  <w:sz w:val="24"/>
                  <w:szCs w:val="24"/>
                </w:rPr>
                <w:t>http://dic.academic.ru/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C4485">
                <w:rPr>
                  <w:rStyle w:val="a3"/>
                  <w:rFonts w:ascii="Times New Roman" w:hAnsi="Times New Roman" w:cs="Times New Roman"/>
                  <w:sz w:val="24"/>
                  <w:szCs w:val="24"/>
                </w:rPr>
                <w:t>http://www.benran.ru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C4485">
                <w:rPr>
                  <w:rStyle w:val="a3"/>
                  <w:rFonts w:ascii="Times New Roman" w:hAnsi="Times New Roman" w:cs="Times New Roman"/>
                  <w:sz w:val="24"/>
                  <w:szCs w:val="24"/>
                </w:rPr>
                <w:t>http://www.gks.ru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C4485">
                <w:rPr>
                  <w:rStyle w:val="a3"/>
                  <w:rFonts w:ascii="Times New Roman" w:hAnsi="Times New Roman" w:cs="Times New Roman"/>
                  <w:sz w:val="24"/>
                  <w:szCs w:val="24"/>
                </w:rPr>
                <w:t>http://diss.rsl.ru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C4485">
                <w:rPr>
                  <w:rStyle w:val="a3"/>
                  <w:rFonts w:ascii="Times New Roman" w:hAnsi="Times New Roman" w:cs="Times New Roman"/>
                  <w:sz w:val="24"/>
                  <w:szCs w:val="24"/>
                </w:rPr>
                <w:t>http://ru.spinform.ru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F4C94" w:rsidRDefault="00387D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F4C94">
        <w:trPr>
          <w:trHeight w:hRule="exact" w:val="314"/>
        </w:trPr>
        <w:tc>
          <w:tcPr>
            <w:tcW w:w="9654" w:type="dxa"/>
            <w:gridSpan w:val="2"/>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F4C94">
        <w:trPr>
          <w:trHeight w:hRule="exact" w:val="1970"/>
        </w:trPr>
        <w:tc>
          <w:tcPr>
            <w:tcW w:w="9654" w:type="dxa"/>
            <w:gridSpan w:val="2"/>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11845"/>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F4C94" w:rsidRDefault="00387D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F4C94" w:rsidRDefault="00387D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F4C94" w:rsidRDefault="00387D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F4C94" w:rsidRDefault="00387D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F4C94" w:rsidRDefault="00387D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F4C94" w:rsidRDefault="00387D7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F4C94" w:rsidRDefault="00387D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F4C94" w:rsidRDefault="00387D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F4C94" w:rsidRDefault="00387D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F4C94" w:rsidRDefault="00387D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F4C94">
        <w:trPr>
          <w:trHeight w:hRule="exact" w:val="85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F4C94">
        <w:trPr>
          <w:trHeight w:hRule="exact" w:val="2690"/>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F4C94" w:rsidRDefault="00DF4C94">
            <w:pPr>
              <w:spacing w:after="0" w:line="240" w:lineRule="auto"/>
              <w:jc w:val="both"/>
              <w:rPr>
                <w:sz w:val="24"/>
                <w:szCs w:val="24"/>
              </w:rPr>
            </w:pPr>
          </w:p>
          <w:p w:rsidR="00DF4C94" w:rsidRDefault="00387D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F4C94" w:rsidRDefault="00387D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F4C94" w:rsidRDefault="00387D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F4C94" w:rsidRDefault="00387D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F4C94" w:rsidRDefault="00387D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F4C94" w:rsidRDefault="00387D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555"/>
        </w:trPr>
        <w:tc>
          <w:tcPr>
            <w:tcW w:w="9654" w:type="dxa"/>
            <w:shd w:val="clear" w:color="000000" w:fill="FFFFFF"/>
            <w:tcMar>
              <w:left w:w="34" w:type="dxa"/>
              <w:right w:w="34" w:type="dxa"/>
            </w:tcMar>
          </w:tcPr>
          <w:p w:rsidR="00DF4C94" w:rsidRDefault="00DF4C94">
            <w:pPr>
              <w:spacing w:after="0" w:line="240" w:lineRule="auto"/>
              <w:jc w:val="both"/>
              <w:rPr>
                <w:sz w:val="24"/>
                <w:szCs w:val="24"/>
              </w:rPr>
            </w:pPr>
          </w:p>
          <w:p w:rsidR="00DF4C94" w:rsidRDefault="00387D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C4485">
                <w:rPr>
                  <w:rStyle w:val="a3"/>
                  <w:rFonts w:ascii="Times New Roman" w:hAnsi="Times New Roman" w:cs="Times New Roman"/>
                  <w:sz w:val="24"/>
                  <w:szCs w:val="24"/>
                </w:rPr>
                <w:t>http://www.president.kremlin.ru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C4485">
                <w:rPr>
                  <w:rStyle w:val="a3"/>
                  <w:rFonts w:ascii="Times New Roman" w:hAnsi="Times New Roman" w:cs="Times New Roman"/>
                  <w:sz w:val="24"/>
                  <w:szCs w:val="24"/>
                </w:rPr>
                <w:t>http://www.ict.edu.ru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F4C94">
        <w:trPr>
          <w:trHeight w:hRule="exact" w:val="58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F4C94" w:rsidRDefault="00387D7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C4485">
                <w:rPr>
                  <w:rStyle w:val="a3"/>
                  <w:rFonts w:ascii="Times New Roman" w:hAnsi="Times New Roman" w:cs="Times New Roman"/>
                  <w:sz w:val="24"/>
                  <w:szCs w:val="24"/>
                </w:rPr>
                <w:t>http://fgosvo.ru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C4485">
                <w:rPr>
                  <w:rStyle w:val="a3"/>
                  <w:rFonts w:ascii="Times New Roman" w:hAnsi="Times New Roman" w:cs="Times New Roman"/>
                  <w:sz w:val="24"/>
                  <w:szCs w:val="24"/>
                </w:rPr>
                <w:t>http://pravo.gov.ru</w:t>
              </w:r>
            </w:hyperlink>
          </w:p>
        </w:tc>
      </w:tr>
      <w:tr w:rsidR="00DF4C94">
        <w:trPr>
          <w:trHeight w:hRule="exact" w:val="30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C4485">
                <w:rPr>
                  <w:rStyle w:val="a3"/>
                  <w:rFonts w:ascii="Times New Roman" w:hAnsi="Times New Roman" w:cs="Times New Roman"/>
                  <w:sz w:val="24"/>
                  <w:szCs w:val="24"/>
                </w:rPr>
                <w:t>http://edu.garant.ru/omga/</w:t>
              </w:r>
            </w:hyperlink>
          </w:p>
        </w:tc>
      </w:tr>
      <w:tr w:rsidR="00DF4C94">
        <w:trPr>
          <w:trHeight w:hRule="exact" w:val="58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C4485">
                <w:rPr>
                  <w:rStyle w:val="a3"/>
                  <w:rFonts w:ascii="Times New Roman" w:hAnsi="Times New Roman" w:cs="Times New Roman"/>
                  <w:sz w:val="24"/>
                  <w:szCs w:val="24"/>
                </w:rPr>
                <w:t>http://www.consultant.ru/edu/student/study/</w:t>
              </w:r>
            </w:hyperlink>
          </w:p>
        </w:tc>
      </w:tr>
      <w:tr w:rsidR="00DF4C94">
        <w:trPr>
          <w:trHeight w:hRule="exact" w:val="314"/>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F4C94">
        <w:trPr>
          <w:trHeight w:hRule="exact" w:val="7587"/>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F4C94" w:rsidRDefault="00387D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F4C94" w:rsidRDefault="00387D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F4C94" w:rsidRDefault="00387D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F4C94" w:rsidRDefault="00387D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F4C94" w:rsidRDefault="00387D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F4C94" w:rsidRDefault="00387D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F4C94" w:rsidRDefault="00387D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F4C94" w:rsidRDefault="00387D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F4C94" w:rsidRDefault="00387D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F4C94" w:rsidRDefault="00387D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F4C94" w:rsidRDefault="00387D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F4C94" w:rsidRDefault="00387D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F4C94" w:rsidRDefault="00387D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F4C94">
        <w:trPr>
          <w:trHeight w:hRule="exact" w:val="277"/>
        </w:trPr>
        <w:tc>
          <w:tcPr>
            <w:tcW w:w="9640" w:type="dxa"/>
          </w:tcPr>
          <w:p w:rsidR="00DF4C94" w:rsidRDefault="00DF4C94"/>
        </w:tc>
      </w:tr>
      <w:tr w:rsidR="00DF4C94">
        <w:trPr>
          <w:trHeight w:hRule="exact" w:val="585"/>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F4C94">
        <w:trPr>
          <w:trHeight w:hRule="exact" w:val="2769"/>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F4C94" w:rsidRDefault="00387D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F4C94" w:rsidRDefault="00387D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11373"/>
        </w:trPr>
        <w:tc>
          <w:tcPr>
            <w:tcW w:w="9654" w:type="dxa"/>
            <w:shd w:val="clear" w:color="000000" w:fill="FFFFFF"/>
            <w:tcMar>
              <w:left w:w="34" w:type="dxa"/>
              <w:right w:w="34" w:type="dxa"/>
            </w:tcMar>
          </w:tcPr>
          <w:p w:rsidR="00DF4C94" w:rsidRDefault="00387D77">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F4C94" w:rsidRDefault="00387D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F4C94" w:rsidRDefault="00387D7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F4C94" w:rsidRDefault="00387D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F4C94">
        <w:trPr>
          <w:trHeight w:hRule="exact" w:val="2478"/>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DF4C94">
        <w:trPr>
          <w:trHeight w:hRule="exact" w:val="1539"/>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DF4C94" w:rsidRDefault="00387D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F4C94">
        <w:trPr>
          <w:trHeight w:hRule="exact" w:val="2478"/>
        </w:trPr>
        <w:tc>
          <w:tcPr>
            <w:tcW w:w="9654" w:type="dxa"/>
            <w:shd w:val="clear" w:color="000000" w:fill="FFFFFF"/>
            <w:tcMar>
              <w:left w:w="34" w:type="dxa"/>
              <w:right w:w="34" w:type="dxa"/>
            </w:tcMar>
          </w:tcPr>
          <w:p w:rsidR="00DF4C94" w:rsidRDefault="00387D77">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F4C94" w:rsidRDefault="00DF4C94"/>
    <w:sectPr w:rsidR="00DF4C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7D77"/>
    <w:rsid w:val="00894439"/>
    <w:rsid w:val="00D31453"/>
    <w:rsid w:val="00DF4C94"/>
    <w:rsid w:val="00E209E2"/>
    <w:rsid w:val="00FC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D77"/>
    <w:rPr>
      <w:color w:val="0563C1" w:themeColor="hyperlink"/>
      <w:u w:val="single"/>
    </w:rPr>
  </w:style>
  <w:style w:type="character" w:styleId="a4">
    <w:name w:val="Unresolved Mention"/>
    <w:basedOn w:val="a0"/>
    <w:uiPriority w:val="99"/>
    <w:semiHidden/>
    <w:unhideWhenUsed/>
    <w:rsid w:val="0038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5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27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5774</Words>
  <Characters>32916</Characters>
  <Application>Microsoft Office Word</Application>
  <DocSecurity>0</DocSecurity>
  <Lines>274</Lines>
  <Paragraphs>77</Paragraphs>
  <ScaleCrop>false</ScaleCrop>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2022-2023_ФГОС3++2022_Бак-ОФО-Э(ФКиА)(22)_plx_Инвестиционная банковская деятельность</dc:title>
  <dc:creator>FastReport.NET</dc:creator>
  <cp:lastModifiedBy>Mark Bernstorf</cp:lastModifiedBy>
  <cp:revision>4</cp:revision>
  <dcterms:created xsi:type="dcterms:W3CDTF">2022-05-01T22:17:00Z</dcterms:created>
  <dcterms:modified xsi:type="dcterms:W3CDTF">2022-11-12T12:03:00Z</dcterms:modified>
</cp:coreProperties>
</file>